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="Cambria" w:hAnsi="Cambria" w:asciiTheme="majorHAnsi" w:hAnsiTheme="majorHAnsi"/>
          <w:b/>
          <w:sz w:val="20"/>
        </w:rPr>
        <w:t>NUOVO MODELLO ORGANIZZATIVO APPROVATO CON DELIBERAZIONE DI G.M. N. ___ DEL __/10/2020</w:t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p>
      <w:pPr>
        <w:pStyle w:val="Predefinito"/>
        <w:spacing w:before="12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="Cambria" w:hAnsi="Cambria" w:asciiTheme="majorHAnsi" w:hAnsiTheme="majorHAnsi"/>
          <w:b/>
          <w:sz w:val="20"/>
        </w:rPr>
        <w:t xml:space="preserve">UFFICIO STAFF DEL SEGRETARIO GENERALE </w:t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6509"/>
      </w:tblGrid>
      <w:tr>
        <w:trPr/>
        <w:tc>
          <w:tcPr>
            <w:tcW w:w="2605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09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Pianificazione strategica, programmazione e controllo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Controlli interni e prevenzione della corruzione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Ufficio Unesco</w:t>
            </w:r>
          </w:p>
        </w:tc>
      </w:tr>
    </w:tbl>
    <w:p>
      <w:pPr>
        <w:pStyle w:val="Predefinito"/>
        <w:spacing w:before="0" w:after="0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/>
          <w:b/>
          <w:sz w:val="20"/>
        </w:rPr>
      </w:r>
    </w:p>
    <w:p>
      <w:pPr>
        <w:pStyle w:val="Predefinito"/>
        <w:spacing w:before="0" w:after="0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 w:asciiTheme="majorHAnsi" w:hAnsiTheme="majorHAnsi"/>
          <w:b/>
          <w:sz w:val="20"/>
        </w:rPr>
        <w:t>SETTORE 1: SERVIZI GENERALI–ORGANI ISTITUZIONALI–COESIONE SOCIALE</w:t>
      </w:r>
    </w:p>
    <w:p>
      <w:pPr>
        <w:pStyle w:val="Predefinito"/>
        <w:spacing w:before="0" w:after="0"/>
        <w:rPr>
          <w:rFonts w:ascii="Cambria" w:hAnsi="Cambria" w:asciiTheme="majorHAnsi" w:hAnsiTheme="majorHAnsi"/>
          <w:sz w:val="20"/>
        </w:rPr>
      </w:pPr>
      <w:r>
        <w:rPr>
          <w:rFonts w:asciiTheme="majorHAnsi" w:hAnsiTheme="majorHAnsi" w:ascii="Cambria" w:hAnsi="Cambria"/>
          <w:sz w:val="20"/>
        </w:rPr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31"/>
        <w:gridCol w:w="6478"/>
      </w:tblGrid>
      <w:tr>
        <w:trPr/>
        <w:tc>
          <w:tcPr>
            <w:tcW w:w="2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Segreteria Generale e Procedimenti Deliberativi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09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Assistenza alla Presidenza del Consiglio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09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Archivio Generale, Protocollo, Notificazione atti, Servizi ausiliari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509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Affari General e rapporti con l’Università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5</w:t>
            </w:r>
          </w:p>
        </w:tc>
        <w:tc>
          <w:tcPr>
            <w:tcW w:w="6509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 sanitari delegati e tutela dei diritti degli animali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6</w:t>
            </w:r>
          </w:p>
        </w:tc>
        <w:tc>
          <w:tcPr>
            <w:tcW w:w="6509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Elettorale, Anagrafe e Stato Civile</w:t>
            </w:r>
          </w:p>
        </w:tc>
      </w:tr>
      <w:tr>
        <w:trPr/>
        <w:tc>
          <w:tcPr>
            <w:tcW w:w="26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7</w:t>
            </w:r>
          </w:p>
        </w:tc>
        <w:tc>
          <w:tcPr>
            <w:tcW w:w="64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Statistica, rilevazioni, censimenti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Staff</w:t>
            </w:r>
          </w:p>
        </w:tc>
        <w:tc>
          <w:tcPr>
            <w:tcW w:w="6509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Ufficio di Gabinetto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Staff</w:t>
            </w:r>
          </w:p>
        </w:tc>
        <w:tc>
          <w:tcPr>
            <w:tcW w:w="6509" w:type="dxa"/>
            <w:gridSpan w:val="2"/>
            <w:tcBorders>
              <w:left w:val="single" w:sz="8" w:space="0" w:color="000001"/>
              <w:bottom w:val="single" w:sz="4" w:space="0" w:color="000000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Ufficio Stampa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Staff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Avvocatura Comunale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Staff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Ufficio Mediazione Tributaria</w:t>
            </w:r>
          </w:p>
        </w:tc>
      </w:tr>
    </w:tbl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="Cambria" w:hAnsi="Cambria" w:asciiTheme="majorHAnsi" w:hAnsiTheme="majorHAnsi"/>
          <w:b/>
          <w:sz w:val="20"/>
        </w:rPr>
        <w:t xml:space="preserve">SETTORE 2: PIANIFICAZIONE E RISORSE FINANZIARIE </w:t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6509"/>
      </w:tblGrid>
      <w:tr>
        <w:trPr/>
        <w:tc>
          <w:tcPr>
            <w:tcW w:w="2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 xml:space="preserve"> </w:t>
            </w: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Bilancio e Consuntivo, Contabilità finanziaria, Gestione entrate e spese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Contabilità economica patrimoniale, analitica e per centri di costo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Mutui e piani finanziari, finanziamenti a destinazione vincolata, contabilità fiscale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Economato e provveditorato</w:t>
            </w:r>
          </w:p>
        </w:tc>
      </w:tr>
    </w:tbl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="Cambria" w:hAnsi="Cambria" w:asciiTheme="majorHAnsi" w:hAnsiTheme="majorHAnsi"/>
          <w:b/>
          <w:sz w:val="20"/>
        </w:rPr>
        <w:t xml:space="preserve">SETTORE 3: GOVERNO DEL TERRITORIO – CENTRO STORICO </w:t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tbl>
      <w:tblPr>
        <w:tblW w:w="913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0"/>
        <w:gridCol w:w="6495"/>
        <w:gridCol w:w="15"/>
      </w:tblGrid>
      <w:tr>
        <w:trPr/>
        <w:tc>
          <w:tcPr>
            <w:tcW w:w="2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 xml:space="preserve"> </w:t>
            </w: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Gestione Piani Urbanistici, Pianificazione territoriale</w:t>
            </w:r>
          </w:p>
        </w:tc>
        <w:tc>
          <w:tcPr>
            <w:tcW w:w="1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4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SIT, toponomastica e numerazione civica</w:t>
            </w:r>
          </w:p>
        </w:tc>
        <w:tc>
          <w:tcPr>
            <w:tcW w:w="1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4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Gestione Piani di Spesa L.R. 61/81</w:t>
            </w:r>
          </w:p>
        </w:tc>
        <w:tc>
          <w:tcPr>
            <w:tcW w:w="1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4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Contributi, Incentivazione attività economiche ed Edilizia privata nei Centri Storici</w:t>
            </w:r>
          </w:p>
        </w:tc>
        <w:tc>
          <w:tcPr>
            <w:tcW w:w="1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5</w:t>
            </w:r>
          </w:p>
        </w:tc>
        <w:tc>
          <w:tcPr>
            <w:tcW w:w="64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Piano Strategico Città di Ragusa</w:t>
            </w:r>
          </w:p>
        </w:tc>
        <w:tc>
          <w:tcPr>
            <w:tcW w:w="1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6</w:t>
            </w:r>
          </w:p>
        </w:tc>
        <w:tc>
          <w:tcPr>
            <w:tcW w:w="64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Progettazione Opere strategiche di Riqualificazione Urbana</w:t>
            </w:r>
          </w:p>
        </w:tc>
        <w:tc>
          <w:tcPr>
            <w:tcW w:w="1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 xml:space="preserve"> </w:t>
            </w:r>
            <w:r>
              <w:rPr>
                <w:rFonts w:cs="Verdana" w:ascii="Cambria" w:hAnsi="Cambria" w:asciiTheme="majorHAnsi" w:hAnsiTheme="majorHAnsi"/>
                <w:sz w:val="20"/>
              </w:rPr>
              <w:t>Servizio 7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Servizio Attività Edilizia Assentita col Permesso di Costruire</w:t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Servizio 8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Servizio Attività Edilizia Libera e Semplificata</w:t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Servizio 9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Infrazioni e Condono</w:t>
            </w:r>
          </w:p>
        </w:tc>
      </w:tr>
      <w:tr>
        <w:trPr/>
        <w:tc>
          <w:tcPr>
            <w:tcW w:w="2620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color w:val="auto"/>
                <w:sz w:val="20"/>
              </w:rPr>
            </w:pPr>
            <w:r>
              <w:rPr>
                <w:rFonts w:cs="Verdana" w:ascii="Cambria" w:hAnsi="Cambria" w:asciiTheme="majorHAnsi" w:hAnsiTheme="majorHAnsi"/>
                <w:color w:val="auto"/>
                <w:sz w:val="20"/>
              </w:rPr>
              <w:t>Servizio 10</w:t>
            </w:r>
          </w:p>
        </w:tc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color w:val="auto"/>
                <w:sz w:val="20"/>
              </w:rPr>
            </w:pPr>
            <w:r>
              <w:rPr>
                <w:rFonts w:cs="Verdana" w:ascii="Cambria" w:hAnsi="Cambria" w:asciiTheme="majorHAnsi" w:hAnsiTheme="majorHAnsi"/>
                <w:color w:val="auto"/>
                <w:sz w:val="20"/>
              </w:rPr>
              <w:t>Sportello Unico Attività Produttive (S.U.A.P.)</w:t>
            </w:r>
          </w:p>
        </w:tc>
      </w:tr>
    </w:tbl>
    <w:p>
      <w:pPr>
        <w:pStyle w:val="Predefinito"/>
        <w:spacing w:before="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p>
      <w:pPr>
        <w:pStyle w:val="Predefinito"/>
        <w:spacing w:before="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p>
      <w:pPr>
        <w:pStyle w:val="Predefinito"/>
        <w:spacing w:before="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="Cambria" w:hAnsi="Cambria" w:asciiTheme="majorHAnsi" w:hAnsiTheme="majorHAnsi"/>
          <w:b/>
          <w:sz w:val="20"/>
        </w:rPr>
        <w:t xml:space="preserve">SETTORE 4: GESTIONE DEL TERRITORIO – INFRASTRUTTURE </w:t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89"/>
        <w:gridCol w:w="6525"/>
      </w:tblGrid>
      <w:tr>
        <w:trPr/>
        <w:tc>
          <w:tcPr>
            <w:tcW w:w="2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Manutenzione opere edili (attrezzature scolastiche, sportive e di interesse comune e generale) e immobili comunali</w:t>
            </w:r>
          </w:p>
        </w:tc>
      </w:tr>
      <w:tr>
        <w:trPr/>
        <w:tc>
          <w:tcPr>
            <w:tcW w:w="2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Manutenzione e Gestione opere a rete (viabilità , pubblica illuminazione, gestione concessione metano). Espropri, occupazione suolo pubblico, passi carrabili.</w:t>
            </w:r>
          </w:p>
        </w:tc>
      </w:tr>
      <w:tr>
        <w:trPr/>
        <w:tc>
          <w:tcPr>
            <w:tcW w:w="2589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Arredo Urbano</w:t>
            </w:r>
          </w:p>
        </w:tc>
      </w:tr>
      <w:tr>
        <w:trPr/>
        <w:tc>
          <w:tcPr>
            <w:tcW w:w="2589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 Tecnologici</w:t>
            </w:r>
          </w:p>
        </w:tc>
      </w:tr>
      <w:tr>
        <w:trPr/>
        <w:tc>
          <w:tcPr>
            <w:tcW w:w="2589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5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Programmazione, gestione e monitoraggio opere pubbliche. Programmi speciali</w:t>
            </w:r>
          </w:p>
        </w:tc>
      </w:tr>
      <w:tr>
        <w:trPr/>
        <w:tc>
          <w:tcPr>
            <w:tcW w:w="2589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/>
                <w:sz w:val="20"/>
              </w:rPr>
              <w:t>Servizio 6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/>
                <w:sz w:val="20"/>
              </w:rPr>
              <w:t>Servizio tecnico-amministrativo per le procedure di affidamento dei Servizi di Ingegneria ed Architettura e dei lavori di importo inferiore a 150.000 euro”</w:t>
            </w:r>
          </w:p>
        </w:tc>
      </w:tr>
    </w:tbl>
    <w:p>
      <w:pPr>
        <w:pStyle w:val="Predefinito"/>
        <w:spacing w:before="0" w:after="0"/>
        <w:jc w:val="both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/>
          <w:b/>
          <w:sz w:val="20"/>
        </w:rPr>
      </w:r>
    </w:p>
    <w:p>
      <w:pPr>
        <w:pStyle w:val="Predefinito"/>
        <w:spacing w:before="0" w:after="0"/>
        <w:jc w:val="both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 w:asciiTheme="majorHAnsi" w:hAnsiTheme="majorHAnsi"/>
          <w:b/>
          <w:sz w:val="20"/>
        </w:rPr>
        <w:t xml:space="preserve">SETTORE 5: POLITICHE AMBIENTALI, ENERGETICHE E DEL VERDE PUBBLICO– </w:t>
      </w:r>
    </w:p>
    <w:p>
      <w:pPr>
        <w:pStyle w:val="Predefinito"/>
        <w:spacing w:before="0" w:after="0"/>
        <w:jc w:val="both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 w:asciiTheme="majorHAnsi" w:hAnsiTheme="majorHAnsi"/>
          <w:b/>
          <w:sz w:val="20"/>
        </w:rPr>
        <w:t>MOBILITA’ E PROTEZIONE CIVILE – SERVIZI CIMITERIALI.</w:t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6509"/>
      </w:tblGrid>
      <w:tr>
        <w:trPr/>
        <w:tc>
          <w:tcPr>
            <w:tcW w:w="2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 xml:space="preserve"> </w:t>
            </w: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Gestione e tutela dell’ambiente (rifiuti, monitoraggio aria, acqua, suolo)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Idrico Integrato (acquedotto, fognatura, impianti di sollevamento, serbatoi e depuratori)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Gestione servizi cimiteriali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4" w:space="0" w:color="000000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Energia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5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Mobilità sostenibile ed Autoparco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color w:val="auto"/>
                <w:sz w:val="20"/>
              </w:rPr>
            </w:pPr>
            <w:r>
              <w:rPr>
                <w:rFonts w:cs="Verdana" w:ascii="Cambria" w:hAnsi="Cambria" w:asciiTheme="majorHAnsi" w:hAnsiTheme="majorHAnsi"/>
                <w:color w:val="auto"/>
                <w:sz w:val="20"/>
              </w:rPr>
              <w:t>Servizio 6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color w:val="auto"/>
                <w:sz w:val="20"/>
              </w:rPr>
            </w:pPr>
            <w:r>
              <w:rPr>
                <w:rFonts w:cs="Verdana" w:ascii="Cambria" w:hAnsi="Cambria" w:asciiTheme="majorHAnsi" w:hAnsiTheme="majorHAnsi"/>
                <w:color w:val="auto"/>
                <w:sz w:val="20"/>
              </w:rPr>
              <w:t>Protezione civile</w:t>
            </w:r>
          </w:p>
        </w:tc>
      </w:tr>
      <w:tr>
        <w:trPr/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color w:val="auto"/>
                <w:sz w:val="20"/>
              </w:rPr>
            </w:pPr>
            <w:r>
              <w:rPr>
                <w:rFonts w:cs="Verdana" w:ascii="Cambria" w:hAnsi="Cambria" w:asciiTheme="majorHAnsi" w:hAnsiTheme="majorHAnsi"/>
                <w:color w:val="auto"/>
                <w:sz w:val="20"/>
              </w:rPr>
              <w:t>Servizio 7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color w:val="auto"/>
                <w:sz w:val="20"/>
              </w:rPr>
            </w:pPr>
            <w:r>
              <w:rPr>
                <w:rFonts w:cs="Verdana" w:ascii="Cambria" w:hAnsi="Cambria" w:asciiTheme="majorHAnsi" w:hAnsiTheme="majorHAnsi"/>
                <w:color w:val="auto"/>
                <w:sz w:val="20"/>
              </w:rPr>
              <w:t>Patrimonio naturale e verde pubblico</w:t>
            </w:r>
          </w:p>
        </w:tc>
      </w:tr>
    </w:tbl>
    <w:p>
      <w:pPr>
        <w:pStyle w:val="Predefinito"/>
        <w:spacing w:before="0" w:after="0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/>
          <w:b/>
          <w:sz w:val="20"/>
        </w:rPr>
      </w:r>
    </w:p>
    <w:p>
      <w:pPr>
        <w:pStyle w:val="Predefinito"/>
        <w:spacing w:before="0" w:after="0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 w:asciiTheme="majorHAnsi" w:hAnsiTheme="majorHAnsi"/>
          <w:b/>
          <w:sz w:val="20"/>
        </w:rPr>
        <w:t>SETTORE 6: SVILUPPO ECONOMICO – PROMOZIONE DELLA CITTA’</w:t>
      </w:r>
      <w:bookmarkStart w:id="0" w:name="_GoBack"/>
      <w:bookmarkEnd w:id="0"/>
    </w:p>
    <w:tbl>
      <w:tblPr>
        <w:tblW w:w="913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4"/>
        <w:gridCol w:w="6525"/>
      </w:tblGrid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Gestione piani commerciali, commercio in forma itinerante, mercati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Progettazione comunitaria (Ufficio Europa)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 per l’agricoltura e la zootecnia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 per l’industria e l’artigianato. Gestione Zona Artigianale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5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Licenze Taxi e Autorizzazioni NCC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6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color w:val="auto"/>
                <w:sz w:val="20"/>
              </w:rPr>
              <w:t>Sistemi informativi e reti informatiche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7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color w:val="auto"/>
                <w:sz w:val="20"/>
              </w:rPr>
              <w:t>Servizi  informatici per il Cittadino ed E-Democracy. Agenda digitale e Smart City</w:t>
            </w:r>
          </w:p>
        </w:tc>
      </w:tr>
    </w:tbl>
    <w:p>
      <w:pPr>
        <w:pStyle w:val="Predefinito"/>
        <w:rPr>
          <w:rFonts w:ascii="Cambria" w:hAnsi="Cambria" w:cs="Verdana" w:asciiTheme="majorHAnsi" w:hAnsiTheme="majorHAnsi"/>
          <w:sz w:val="20"/>
        </w:rPr>
      </w:pPr>
      <w:r>
        <w:rPr>
          <w:rFonts w:cs="Verdana" w:ascii="Cambria" w:hAnsi="Cambria"/>
          <w:sz w:val="20"/>
        </w:rPr>
      </w:r>
    </w:p>
    <w:p>
      <w:pPr>
        <w:pStyle w:val="Predefinito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 w:asciiTheme="majorHAnsi" w:hAnsiTheme="majorHAnsi"/>
          <w:sz w:val="20"/>
        </w:rPr>
        <w:t xml:space="preserve"> </w:t>
      </w:r>
      <w:r>
        <w:rPr>
          <w:rFonts w:ascii="Cambria" w:hAnsi="Cambria" w:asciiTheme="majorHAnsi" w:hAnsiTheme="majorHAnsi"/>
          <w:b/>
          <w:sz w:val="20"/>
        </w:rPr>
        <w:t>SETTORE 7: SERVIZI ALLA PERSONA – POLITICHE DELL’ISTRUZIONE</w:t>
      </w:r>
      <w:r>
        <w:rPr>
          <w:rFonts w:cs="Verdana" w:ascii="Cambria" w:hAnsi="Cambria" w:asciiTheme="majorHAnsi" w:hAnsiTheme="majorHAnsi"/>
          <w:b/>
          <w:sz w:val="20"/>
        </w:rPr>
        <w:t xml:space="preserve"> </w:t>
      </w:r>
    </w:p>
    <w:p>
      <w:pPr>
        <w:pStyle w:val="Predefinito"/>
        <w:spacing w:before="0" w:after="0"/>
        <w:jc w:val="both"/>
        <w:rPr>
          <w:rFonts w:ascii="Cambria" w:hAnsi="Cambria" w:cs="Verdana" w:asciiTheme="majorHAnsi" w:hAnsiTheme="majorHAnsi"/>
          <w:b/>
          <w:b/>
          <w:sz w:val="20"/>
        </w:rPr>
      </w:pPr>
      <w:r>
        <w:rPr>
          <w:rFonts w:cs="Verdana" w:ascii="Cambria" w:hAnsi="Cambria"/>
          <w:b/>
          <w:sz w:val="20"/>
        </w:rPr>
      </w:r>
    </w:p>
    <w:tbl>
      <w:tblPr>
        <w:tblW w:w="913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4"/>
        <w:gridCol w:w="6525"/>
      </w:tblGrid>
      <w:tr>
        <w:trPr/>
        <w:tc>
          <w:tcPr>
            <w:tcW w:w="2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Infanzia ed adolescenza, Servizi aperti e residenziali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Sostegno alle Famiglie in Difficoltà, Solidarietà Sociale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Anziani, Servizi Aperti e Residenziali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Disabili, Servizi Aperti e Residenziali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5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Assistenza Abitativa e Gestione, Assegnazione Case Popolari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6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Segretariato Sociale Rapporti con le Organizzazioni no Profit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7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Politiche giovanili e Orientamento al Lavoro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8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Politiche dell’immigrazione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9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Pubblica istruzione. Attività e trasporti scolastici. Diritto allo studio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10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Gestione Asili Nido</w:t>
            </w:r>
          </w:p>
        </w:tc>
      </w:tr>
    </w:tbl>
    <w:p>
      <w:pPr>
        <w:pStyle w:val="Predefinito"/>
        <w:spacing w:before="280" w:after="0"/>
        <w:rPr>
          <w:rFonts w:ascii="Cambria" w:hAnsi="Cambria" w:cs="Verdana" w:asciiTheme="majorHAnsi" w:hAnsiTheme="majorHAnsi"/>
          <w:sz w:val="20"/>
        </w:rPr>
      </w:pPr>
      <w:r>
        <w:rPr>
          <w:rFonts w:cs="Verdana" w:ascii="Cambria" w:hAnsi="Cambria"/>
          <w:sz w:val="20"/>
        </w:rPr>
      </w:r>
    </w:p>
    <w:p>
      <w:pPr>
        <w:pStyle w:val="Predefinito"/>
        <w:spacing w:before="280" w:after="0"/>
        <w:rPr>
          <w:rFonts w:ascii="Cambria" w:hAnsi="Cambria" w:cs="Verdana" w:asciiTheme="majorHAnsi" w:hAnsiTheme="majorHAnsi"/>
          <w:sz w:val="20"/>
        </w:rPr>
      </w:pPr>
      <w:r>
        <w:rPr>
          <w:rFonts w:cs="Verdana" w:ascii="Cambria" w:hAnsi="Cambria"/>
          <w:sz w:val="20"/>
        </w:rPr>
      </w:r>
    </w:p>
    <w:p>
      <w:pPr>
        <w:pStyle w:val="Predefinito"/>
        <w:spacing w:before="280" w:after="0"/>
        <w:rPr>
          <w:rFonts w:ascii="Cambria" w:hAnsi="Cambria" w:cs="Verdana" w:asciiTheme="majorHAnsi" w:hAnsiTheme="majorHAnsi"/>
          <w:sz w:val="20"/>
        </w:rPr>
      </w:pPr>
      <w:r>
        <w:rPr>
          <w:rFonts w:cs="Verdana" w:ascii="Cambria" w:hAnsi="Cambria"/>
          <w:sz w:val="20"/>
        </w:rPr>
      </w:r>
    </w:p>
    <w:p>
      <w:pPr>
        <w:pStyle w:val="Predefinito"/>
        <w:spacing w:before="280" w:after="0"/>
        <w:rPr>
          <w:rFonts w:ascii="Cambria" w:hAnsi="Cambria" w:cs="Verdana" w:asciiTheme="majorHAnsi" w:hAnsiTheme="majorHAnsi"/>
          <w:sz w:val="20"/>
        </w:rPr>
      </w:pPr>
      <w:r>
        <w:rPr>
          <w:rFonts w:cs="Verdana" w:ascii="Cambria" w:hAnsi="Cambria"/>
          <w:sz w:val="20"/>
        </w:rPr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cs="Verdana" w:ascii="Cambria" w:hAnsi="Cambria" w:asciiTheme="majorHAnsi" w:hAnsiTheme="majorHAnsi"/>
          <w:sz w:val="20"/>
        </w:rPr>
        <w:t xml:space="preserve"> </w:t>
      </w:r>
      <w:r>
        <w:rPr>
          <w:rFonts w:ascii="Cambria" w:hAnsi="Cambria" w:asciiTheme="majorHAnsi" w:hAnsiTheme="majorHAnsi"/>
          <w:b/>
          <w:sz w:val="20"/>
        </w:rPr>
        <w:t>SETTORE 8 –  CORPO DI POLIZIA MUNICIPLAE E POLITICHE PER LA SICUREZZA URBANA</w:t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tbl>
      <w:tblPr>
        <w:tblW w:w="913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4"/>
        <w:gridCol w:w="6525"/>
      </w:tblGrid>
      <w:tr>
        <w:trPr/>
        <w:tc>
          <w:tcPr>
            <w:tcW w:w="2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 xml:space="preserve"> </w:t>
            </w: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Affari generali e amministrazione interna del Corpo di Polizia Municipale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Polizia Giudiziaria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cs="Verdan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Polizia amministrativa e sicurezza urbana (vigilanza territoriale, edilizia, ecologica, ambientale. polizia commerciale).</w:t>
            </w:r>
          </w:p>
        </w:tc>
      </w:tr>
      <w:tr>
        <w:trPr/>
        <w:tc>
          <w:tcPr>
            <w:tcW w:w="2604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</w:t>
            </w:r>
          </w:p>
        </w:tc>
        <w:tc>
          <w:tcPr>
            <w:tcW w:w="65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jc w:val="both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Gestione della sicurezza stradale:  viabilità e polizia stradale</w:t>
            </w:r>
          </w:p>
        </w:tc>
      </w:tr>
    </w:tbl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="Cambria" w:hAnsi="Cambria" w:asciiTheme="majorHAnsi" w:hAnsiTheme="majorHAnsi"/>
          <w:b/>
          <w:sz w:val="20"/>
        </w:rPr>
        <w:t xml:space="preserve">SETTORE 9: RISORSE TRIBUTARIE  </w:t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6509"/>
      </w:tblGrid>
      <w:tr>
        <w:trPr/>
        <w:tc>
          <w:tcPr>
            <w:tcW w:w="2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Tassa sui Rifiuti - TARI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Imposta Municipale Propria - IMU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Tributo per i Servizi Indivisibili - TASI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Gestione amministrativa e contabile del Servizio Idrico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5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Tributi diversi</w:t>
            </w:r>
          </w:p>
        </w:tc>
      </w:tr>
    </w:tbl>
    <w:p>
      <w:pPr>
        <w:pStyle w:val="Predefinito"/>
        <w:spacing w:before="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p>
      <w:pPr>
        <w:pStyle w:val="Predefinito"/>
        <w:spacing w:before="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p>
      <w:pPr>
        <w:pStyle w:val="Predefinito"/>
        <w:spacing w:before="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="Cambria" w:hAnsi="Cambria" w:asciiTheme="majorHAnsi" w:hAnsiTheme="majorHAnsi"/>
          <w:b/>
          <w:sz w:val="20"/>
        </w:rPr>
        <w:t>SETTORE 10: ORGANIZZAZIONE E GESTIONE DELLE RISORSE UMANE</w:t>
      </w:r>
    </w:p>
    <w:p>
      <w:pPr>
        <w:pStyle w:val="Predefinito"/>
        <w:spacing w:before="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6509"/>
      </w:tblGrid>
      <w:tr>
        <w:trPr/>
        <w:tc>
          <w:tcPr>
            <w:tcW w:w="2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Gestione giuridica del personale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Gestione economica, contrattazione decentrata e relazioni sindacali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Analisi ed interventi sulla struttura organizzativa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4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4" w:space="0" w:color="000000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ascii="Cambria" w:hAnsi="Cambria" w:asciiTheme="majorHAnsi" w:hAnsiTheme="majorHAnsi"/>
                <w:sz w:val="20"/>
              </w:rPr>
              <w:t>Gestione sistema permanente di valutazione del personale, gestione piani di formazione</w:t>
            </w:r>
          </w:p>
        </w:tc>
      </w:tr>
    </w:tbl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color w:val="auto"/>
          <w:sz w:val="20"/>
        </w:rPr>
      </w:pPr>
      <w:r>
        <w:rPr>
          <w:rFonts w:ascii="Cambria" w:hAnsi="Cambria" w:asciiTheme="majorHAnsi" w:hAnsiTheme="majorHAnsi"/>
          <w:b/>
          <w:color w:val="auto"/>
          <w:sz w:val="20"/>
        </w:rPr>
        <w:t xml:space="preserve">SETTORE 11 APPALTI,  CONTRATTI, PATRIMONIO </w:t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6509"/>
      </w:tblGrid>
      <w:tr>
        <w:trPr/>
        <w:tc>
          <w:tcPr>
            <w:tcW w:w="2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 xml:space="preserve"> </w:t>
            </w: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Procedure di appalto di lavori, servizi e forniture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Contratti sotto soglia comunitaria e procedure semplificate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Gestione amministrativa del patrimonio immobiliare</w:t>
            </w:r>
          </w:p>
        </w:tc>
      </w:tr>
    </w:tbl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color w:val="FF0000"/>
          <w:sz w:val="20"/>
        </w:rPr>
      </w:pPr>
      <w:r>
        <w:rPr>
          <w:rFonts w:asciiTheme="majorHAnsi" w:hAnsiTheme="majorHAnsi" w:ascii="Cambria" w:hAnsi="Cambria"/>
          <w:b/>
          <w:color w:val="FF0000"/>
          <w:sz w:val="20"/>
        </w:rPr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color w:val="FF0000"/>
          <w:sz w:val="20"/>
        </w:rPr>
      </w:pPr>
      <w:r>
        <w:rPr>
          <w:rFonts w:asciiTheme="majorHAnsi" w:hAnsiTheme="majorHAnsi" w:ascii="Cambria" w:hAnsi="Cambria"/>
          <w:b/>
          <w:color w:val="FF0000"/>
          <w:sz w:val="20"/>
        </w:rPr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color w:val="auto"/>
          <w:sz w:val="20"/>
        </w:rPr>
      </w:pPr>
      <w:r>
        <w:rPr>
          <w:rFonts w:ascii="Cambria" w:hAnsi="Cambria" w:asciiTheme="majorHAnsi" w:hAnsiTheme="majorHAnsi"/>
          <w:b/>
          <w:color w:val="auto"/>
          <w:sz w:val="20"/>
        </w:rPr>
        <w:t xml:space="preserve">SETTORE 12:CULTURA, TURISMO, SPORT, SPETTACOLO </w:t>
      </w:r>
    </w:p>
    <w:p>
      <w:pPr>
        <w:pStyle w:val="Predefinito"/>
        <w:spacing w:before="280" w:after="0"/>
        <w:rPr>
          <w:rFonts w:ascii="Cambria" w:hAnsi="Cambria" w:asciiTheme="majorHAnsi" w:hAnsiTheme="majorHAnsi"/>
          <w:b/>
          <w:b/>
          <w:sz w:val="20"/>
        </w:rPr>
      </w:pPr>
      <w:r>
        <w:rPr>
          <w:rFonts w:asciiTheme="majorHAnsi" w:hAnsiTheme="majorHAnsi" w:ascii="Cambria" w:hAnsi="Cambria"/>
          <w:b/>
          <w:sz w:val="20"/>
        </w:rPr>
      </w:r>
    </w:p>
    <w:tbl>
      <w:tblPr>
        <w:tblW w:w="911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5"/>
        <w:gridCol w:w="6509"/>
      </w:tblGrid>
      <w:tr>
        <w:trPr/>
        <w:tc>
          <w:tcPr>
            <w:tcW w:w="2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 xml:space="preserve"> </w:t>
            </w:r>
            <w:r>
              <w:rPr>
                <w:rFonts w:cs="Verdana" w:ascii="Cambria" w:hAnsi="Cambria" w:asciiTheme="majorHAnsi" w:hAnsiTheme="majorHAnsi"/>
                <w:sz w:val="20"/>
              </w:rPr>
              <w:t>Servizio 1</w:t>
            </w:r>
          </w:p>
        </w:tc>
        <w:tc>
          <w:tcPr>
            <w:tcW w:w="65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Cultura: promozione e valorizzazione delle manifestazioni culturali, gestione dei beni culturali, biblioteca e archivio atorico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2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Turismo: promozione e valorizzazione turistica del territorio</w:t>
            </w:r>
          </w:p>
        </w:tc>
      </w:tr>
      <w:tr>
        <w:trPr/>
        <w:tc>
          <w:tcPr>
            <w:tcW w:w="2605" w:type="dxa"/>
            <w:tcBorders>
              <w:left w:val="single" w:sz="8" w:space="0" w:color="000001"/>
              <w:bottom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Servizio 3</w:t>
            </w:r>
          </w:p>
        </w:tc>
        <w:tc>
          <w:tcPr>
            <w:tcW w:w="650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Predefinito"/>
              <w:widowControl w:val="false"/>
              <w:spacing w:lineRule="atLeast" w:line="100" w:before="0" w:after="200"/>
              <w:rPr>
                <w:rFonts w:ascii="Cambria" w:hAnsi="Cambria" w:asciiTheme="majorHAnsi" w:hAnsiTheme="majorHAnsi"/>
                <w:sz w:val="20"/>
              </w:rPr>
            </w:pPr>
            <w:r>
              <w:rPr>
                <w:rFonts w:cs="Verdana" w:ascii="Cambria" w:hAnsi="Cambria" w:asciiTheme="majorHAnsi" w:hAnsiTheme="majorHAnsi"/>
                <w:sz w:val="20"/>
              </w:rPr>
              <w:t>Sport, Spettacolo e tempo libero</w:t>
            </w:r>
          </w:p>
        </w:tc>
      </w:tr>
    </w:tbl>
    <w:p>
      <w:pPr>
        <w:pStyle w:val="Predefinito"/>
        <w:spacing w:before="280" w:after="0"/>
        <w:rPr>
          <w:rFonts w:ascii="Cambria" w:hAnsi="Cambria" w:asciiTheme="majorHAnsi" w:hAnsiTheme="majorHAnsi"/>
          <w:sz w:val="20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7410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semiHidden/>
    <w:qFormat/>
    <w:locked/>
    <w:rsid w:val="00b943ed"/>
    <w:rPr>
      <w:rFonts w:cs="Times New Roman"/>
    </w:rPr>
  </w:style>
  <w:style w:type="character" w:styleId="TitoloCarattere" w:customStyle="1">
    <w:name w:val="Titolo Carattere"/>
    <w:link w:val="Titolo"/>
    <w:uiPriority w:val="99"/>
    <w:qFormat/>
    <w:locked/>
    <w:rsid w:val="00b943ed"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link w:val="Sottotitolo"/>
    <w:uiPriority w:val="99"/>
    <w:qFormat/>
    <w:locked/>
    <w:rsid w:val="00b943ed"/>
    <w:rPr>
      <w:rFonts w:ascii="Cambria" w:hAnsi="Cambria" w:cs="Times New Roman"/>
      <w:sz w:val="24"/>
      <w:szCs w:val="24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c5146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uiPriority w:val="99"/>
    <w:rsid w:val="004c37da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Predefinito"/>
    <w:uiPriority w:val="99"/>
    <w:qFormat/>
    <w:rsid w:val="004c37da"/>
    <w:pPr>
      <w:suppressLineNumbers/>
    </w:pPr>
    <w:rPr>
      <w:rFonts w:cs="Mangal"/>
    </w:rPr>
  </w:style>
  <w:style w:type="paragraph" w:styleId="Predefinito" w:customStyle="1">
    <w:name w:val="Predefinito"/>
    <w:uiPriority w:val="99"/>
    <w:qFormat/>
    <w:rsid w:val="004c37da"/>
    <w:pPr>
      <w:widowControl/>
      <w:tabs>
        <w:tab w:val="clear" w:pos="708"/>
        <w:tab w:val="left" w:pos="720" w:leader="none"/>
      </w:tabs>
      <w:suppressAutoHyphens w:val="true"/>
      <w:bidi w:val="0"/>
      <w:spacing w:lineRule="auto" w:line="276" w:before="0" w:after="200"/>
      <w:jc w:val="left"/>
    </w:pPr>
    <w:rPr>
      <w:rFonts w:ascii="Arial" w:hAnsi="Arial" w:cs="Arial" w:eastAsia="Times New Roman"/>
      <w:color w:val="00000A"/>
      <w:kern w:val="0"/>
      <w:sz w:val="22"/>
      <w:szCs w:val="20"/>
      <w:lang w:val="it-IT" w:eastAsia="it-IT" w:bidi="ar-SA"/>
    </w:rPr>
  </w:style>
  <w:style w:type="paragraph" w:styleId="Intestazione1" w:customStyle="1">
    <w:name w:val="Intestazione 1"/>
    <w:basedOn w:val="Predefinito"/>
    <w:next w:val="Corpotesto1"/>
    <w:uiPriority w:val="99"/>
    <w:qFormat/>
    <w:rsid w:val="004c37da"/>
    <w:pPr>
      <w:keepNext w:val="true"/>
      <w:keepLines/>
      <w:spacing w:before="200" w:after="0"/>
      <w:outlineLvl w:val="0"/>
    </w:pPr>
    <w:rPr>
      <w:rFonts w:ascii="Trebuchet MS" w:hAnsi="Trebuchet MS" w:cs="Trebuchet MS"/>
      <w:b/>
      <w:bCs/>
      <w:sz w:val="32"/>
      <w:szCs w:val="23"/>
    </w:rPr>
  </w:style>
  <w:style w:type="paragraph" w:styleId="Intestazione2" w:customStyle="1">
    <w:name w:val="Intestazione 2"/>
    <w:basedOn w:val="Predefinito"/>
    <w:next w:val="Corpotesto1"/>
    <w:uiPriority w:val="99"/>
    <w:qFormat/>
    <w:rsid w:val="004c37da"/>
    <w:pPr>
      <w:keepNext w:val="true"/>
      <w:keepLines/>
      <w:spacing w:before="200" w:after="0"/>
      <w:outlineLvl w:val="1"/>
    </w:pPr>
    <w:rPr>
      <w:rFonts w:ascii="Trebuchet MS" w:hAnsi="Trebuchet MS" w:cs="Trebuchet MS"/>
      <w:b/>
      <w:bCs/>
      <w:i/>
      <w:iCs/>
      <w:sz w:val="26"/>
      <w:szCs w:val="28"/>
    </w:rPr>
  </w:style>
  <w:style w:type="paragraph" w:styleId="Intestazione3" w:customStyle="1">
    <w:name w:val="Intestazione 3"/>
    <w:basedOn w:val="Predefinito"/>
    <w:next w:val="Corpotesto1"/>
    <w:uiPriority w:val="99"/>
    <w:qFormat/>
    <w:rsid w:val="004c37da"/>
    <w:pPr>
      <w:keepNext w:val="true"/>
      <w:keepLines/>
      <w:spacing w:before="160" w:after="0"/>
      <w:outlineLvl w:val="2"/>
    </w:pPr>
    <w:rPr>
      <w:rFonts w:ascii="Trebuchet MS" w:hAnsi="Trebuchet MS" w:cs="Trebuchet MS"/>
      <w:b/>
      <w:bCs/>
      <w:color w:val="666666"/>
      <w:sz w:val="24"/>
      <w:szCs w:val="28"/>
    </w:rPr>
  </w:style>
  <w:style w:type="paragraph" w:styleId="Intestazione4" w:customStyle="1">
    <w:name w:val="Intestazione 4"/>
    <w:basedOn w:val="Predefinito"/>
    <w:next w:val="Corpotesto1"/>
    <w:uiPriority w:val="99"/>
    <w:qFormat/>
    <w:rsid w:val="004c37da"/>
    <w:pPr>
      <w:keepNext w:val="true"/>
      <w:keepLines/>
      <w:spacing w:before="160" w:after="0"/>
      <w:outlineLvl w:val="3"/>
    </w:pPr>
    <w:rPr>
      <w:rFonts w:ascii="Trebuchet MS" w:hAnsi="Trebuchet MS" w:cs="Trebuchet MS"/>
      <w:b/>
      <w:bCs/>
      <w:i/>
      <w:iCs/>
      <w:color w:val="666666"/>
      <w:sz w:val="19"/>
      <w:szCs w:val="17"/>
      <w:u w:val="single"/>
    </w:rPr>
  </w:style>
  <w:style w:type="paragraph" w:styleId="Intestazione5" w:customStyle="1">
    <w:name w:val="Intestazione 5"/>
    <w:basedOn w:val="Predefinito"/>
    <w:next w:val="Corpotesto1"/>
    <w:uiPriority w:val="99"/>
    <w:qFormat/>
    <w:rsid w:val="004c37da"/>
    <w:pPr>
      <w:keepNext w:val="true"/>
      <w:keepLines/>
      <w:spacing w:before="160" w:after="0"/>
      <w:outlineLvl w:val="4"/>
    </w:pPr>
    <w:rPr>
      <w:rFonts w:ascii="Trebuchet MS" w:hAnsi="Trebuchet MS" w:cs="Trebuchet MS"/>
      <w:b/>
      <w:bCs/>
      <w:color w:val="666666"/>
      <w:sz w:val="19"/>
      <w:szCs w:val="17"/>
    </w:rPr>
  </w:style>
  <w:style w:type="paragraph" w:styleId="Intestazione6" w:customStyle="1">
    <w:name w:val="Intestazione 6"/>
    <w:basedOn w:val="Predefinito"/>
    <w:next w:val="Corpotesto1"/>
    <w:uiPriority w:val="99"/>
    <w:qFormat/>
    <w:rsid w:val="004c37da"/>
    <w:pPr>
      <w:keepNext w:val="true"/>
      <w:keepLines/>
      <w:spacing w:before="160" w:after="0"/>
      <w:outlineLvl w:val="5"/>
    </w:pPr>
    <w:rPr>
      <w:rFonts w:ascii="Trebuchet MS" w:hAnsi="Trebuchet MS" w:cs="Trebuchet MS"/>
      <w:b/>
      <w:bCs/>
      <w:i/>
      <w:color w:val="666666"/>
      <w:sz w:val="17"/>
      <w:szCs w:val="15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Predefinito"/>
    <w:next w:val="Corpotesto1"/>
    <w:link w:val="IntestazioneCarattere"/>
    <w:uiPriority w:val="99"/>
    <w:rsid w:val="004c37da"/>
    <w:pPr>
      <w:keepNext w:val="true"/>
      <w:spacing w:before="240" w:after="120"/>
    </w:pPr>
    <w:rPr>
      <w:rFonts w:cs="Mangal"/>
      <w:sz w:val="28"/>
      <w:szCs w:val="28"/>
    </w:rPr>
  </w:style>
  <w:style w:type="paragraph" w:styleId="Corpotesto1" w:customStyle="1">
    <w:name w:val="Corpo testo1"/>
    <w:basedOn w:val="Predefinito"/>
    <w:uiPriority w:val="99"/>
    <w:qFormat/>
    <w:rsid w:val="004c37da"/>
    <w:pPr>
      <w:spacing w:before="0" w:after="120"/>
    </w:pPr>
    <w:rPr/>
  </w:style>
  <w:style w:type="paragraph" w:styleId="Caption">
    <w:name w:val="caption"/>
    <w:basedOn w:val="Predefinito"/>
    <w:uiPriority w:val="99"/>
    <w:qFormat/>
    <w:rsid w:val="004c37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igadintestazione" w:customStyle="1">
    <w:name w:val="Riga d'intestazione"/>
    <w:basedOn w:val="Predefinito"/>
    <w:uiPriority w:val="99"/>
    <w:qFormat/>
    <w:rsid w:val="004c37da"/>
    <w:pPr>
      <w:keepNext w:val="true"/>
      <w:suppressLineNumbers/>
      <w:tabs>
        <w:tab w:val="left" w:pos="720" w:leader="none"/>
        <w:tab w:val="center" w:pos="4819" w:leader="none"/>
        <w:tab w:val="right" w:pos="9638" w:leader="none"/>
      </w:tabs>
      <w:spacing w:before="240" w:after="120"/>
    </w:pPr>
    <w:rPr>
      <w:rFonts w:cs="Mangal"/>
      <w:sz w:val="28"/>
      <w:szCs w:val="28"/>
    </w:rPr>
  </w:style>
  <w:style w:type="paragraph" w:styleId="Titoloprincipale">
    <w:name w:val="Title"/>
    <w:basedOn w:val="Predefinito"/>
    <w:next w:val="Sottotitolo"/>
    <w:link w:val="TitoloCarattere"/>
    <w:uiPriority w:val="99"/>
    <w:qFormat/>
    <w:rsid w:val="004c37da"/>
    <w:pPr>
      <w:keepNext w:val="true"/>
      <w:keepLines/>
      <w:jc w:val="center"/>
    </w:pPr>
    <w:rPr>
      <w:rFonts w:ascii="Trebuchet MS" w:hAnsi="Trebuchet MS" w:cs="Trebuchet MS"/>
      <w:b/>
      <w:bCs/>
      <w:sz w:val="42"/>
      <w:szCs w:val="36"/>
    </w:rPr>
  </w:style>
  <w:style w:type="paragraph" w:styleId="Sottotitolo">
    <w:name w:val="Subtitle"/>
    <w:basedOn w:val="Predefinito"/>
    <w:next w:val="Corpotesto1"/>
    <w:link w:val="SottotitoloCarattere"/>
    <w:uiPriority w:val="99"/>
    <w:qFormat/>
    <w:rsid w:val="004c37da"/>
    <w:pPr>
      <w:keepNext w:val="true"/>
      <w:keepLines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paragraph" w:styleId="Contenutotabella" w:customStyle="1">
    <w:name w:val="Contenuto tabella"/>
    <w:basedOn w:val="Predefinito"/>
    <w:uiPriority w:val="99"/>
    <w:qFormat/>
    <w:rsid w:val="004c37da"/>
    <w:pPr>
      <w:suppressLineNumbers/>
    </w:pPr>
    <w:rPr/>
  </w:style>
  <w:style w:type="paragraph" w:styleId="Intestazionetabella" w:customStyle="1">
    <w:name w:val="Intestazione tabella"/>
    <w:basedOn w:val="Contenutotabella"/>
    <w:uiPriority w:val="99"/>
    <w:qFormat/>
    <w:rsid w:val="004c37da"/>
    <w:pPr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c514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86E7-305A-4E06-9B33-944B774E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LibreOffice/7.0.4.2$Windows_X86_64 LibreOffice_project/dcf040e67528d9187c66b2379df5ea4407429775</Application>
  <AppVersion>15.0000</AppVersion>
  <Pages>5</Pages>
  <Words>755</Words>
  <Characters>4978</Characters>
  <CharactersWithSpaces>5591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2020-10-29T08:57:00Z</dcterms:created>
  <dc:creator>Giuseppina Di Martino</dc:creator>
  <dc:description/>
  <dc:language>it-IT</dc:language>
  <cp:lastModifiedBy/>
  <cp:lastPrinted>2020-10-29T18:19:00Z</cp:lastPrinted>
  <dcterms:modified xsi:type="dcterms:W3CDTF">2021-02-09T11:53:40Z</dcterms:modified>
  <cp:revision>8</cp:revision>
  <dc:subject/>
  <dc:title>Settori e Servizi.docx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